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Дело № </w:t>
      </w:r>
      <w:r>
        <w:rPr>
          <w:rFonts w:ascii="Times New Roman" w:eastAsia="Times New Roman" w:hAnsi="Times New Roman" w:cs="Times New Roman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091</w:t>
      </w:r>
      <w:r>
        <w:rPr>
          <w:rFonts w:ascii="Times New Roman" w:eastAsia="Times New Roman" w:hAnsi="Times New Roman" w:cs="Times New Roman"/>
          <w:sz w:val="22"/>
          <w:szCs w:val="22"/>
        </w:rPr>
        <w:t>4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Л Е Н И 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tabs>
          <w:tab w:val="left" w:pos="3615"/>
        </w:tabs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город Сургут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17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Бордунов М.Б., расположенного по адресу: ХМАО - Югра,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308,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материалы дела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должностного лица – </w:t>
      </w:r>
      <w:r>
        <w:rPr>
          <w:rStyle w:val="cat-UserDefinedgrp-37rplc-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Голосняк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Андреевича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8rplc-9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ind w:right="21"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</w:t>
      </w:r>
      <w:r>
        <w:rPr>
          <w:rFonts w:ascii="Times New Roman" w:eastAsia="Times New Roman" w:hAnsi="Times New Roman" w:cs="Times New Roman"/>
          <w:sz w:val="26"/>
          <w:szCs w:val="26"/>
        </w:rPr>
        <w:t>онарушения, предусмотренного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 РФ,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18.04.2026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00 час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01 мин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должностное лицо – </w:t>
      </w:r>
      <w:r>
        <w:rPr>
          <w:rStyle w:val="cat-UserDefinedgrp-39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Голосняк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повторно, в течении года не выполнил в установленный срок до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17.04.2026,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1, п.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законного предписания от </w:t>
      </w:r>
      <w:r>
        <w:rPr>
          <w:rFonts w:ascii="Times New Roman" w:eastAsia="Times New Roman" w:hAnsi="Times New Roman" w:cs="Times New Roman"/>
          <w:sz w:val="26"/>
          <w:szCs w:val="26"/>
        </w:rPr>
        <w:t>29.12</w:t>
      </w:r>
      <w:r>
        <w:rPr>
          <w:rFonts w:ascii="Times New Roman" w:eastAsia="Times New Roman" w:hAnsi="Times New Roman" w:cs="Times New Roman"/>
          <w:sz w:val="26"/>
          <w:szCs w:val="26"/>
        </w:rPr>
        <w:t>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2505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012</w:t>
      </w:r>
      <w:r>
        <w:rPr>
          <w:rFonts w:ascii="Times New Roman" w:eastAsia="Times New Roman" w:hAnsi="Times New Roman" w:cs="Times New Roman"/>
          <w:sz w:val="26"/>
          <w:szCs w:val="26"/>
        </w:rPr>
        <w:t>-86/</w:t>
      </w:r>
      <w:r>
        <w:rPr>
          <w:rFonts w:ascii="Times New Roman" w:eastAsia="Times New Roman" w:hAnsi="Times New Roman" w:cs="Times New Roman"/>
          <w:sz w:val="26"/>
          <w:szCs w:val="26"/>
        </w:rPr>
        <w:t>441</w:t>
      </w:r>
      <w:r>
        <w:rPr>
          <w:rFonts w:ascii="Times New Roman" w:eastAsia="Times New Roman" w:hAnsi="Times New Roman" w:cs="Times New Roman"/>
          <w:sz w:val="26"/>
          <w:szCs w:val="26"/>
        </w:rPr>
        <w:t>-В/</w:t>
      </w:r>
      <w:r>
        <w:rPr>
          <w:rFonts w:ascii="Times New Roman" w:eastAsia="Times New Roman" w:hAnsi="Times New Roman" w:cs="Times New Roman"/>
          <w:sz w:val="26"/>
          <w:szCs w:val="26"/>
        </w:rPr>
        <w:t>ПВП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органа (должностного лица), осуществляющего государственный надзор (контроль), об устранении нарушений противопожарного законодательства.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Голосняк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судебное заседание не явился, извещен надлежащим образом, о причинах неявки суд не уведомил, ходатайств не заявлял.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6"/>
          <w:szCs w:val="26"/>
        </w:rPr>
        <w:t>Голосняка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зучив материалы дела, суд пришел к следующим выводам.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подтверждение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Голосняк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 в материалы дела представительны следующие документы: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22.05.2026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решения о проведении выездной проверки; выписка из </w:t>
      </w:r>
      <w:r>
        <w:rPr>
          <w:rFonts w:ascii="Times New Roman" w:eastAsia="Times New Roman" w:hAnsi="Times New Roman" w:cs="Times New Roman"/>
          <w:sz w:val="26"/>
          <w:szCs w:val="26"/>
        </w:rPr>
        <w:t>ЕГРЮЛ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0rplc-2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»;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копия решения о согласовании мест расположения земельных участков; копия устава </w:t>
      </w:r>
      <w:r>
        <w:rPr>
          <w:rStyle w:val="cat-UserDefinedgrp-41rplc-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уведомление о явке;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предписание от </w:t>
      </w:r>
      <w:r>
        <w:rPr>
          <w:rFonts w:ascii="Times New Roman" w:eastAsia="Times New Roman" w:hAnsi="Times New Roman" w:cs="Times New Roman"/>
          <w:sz w:val="26"/>
          <w:szCs w:val="26"/>
        </w:rPr>
        <w:t>29.12</w:t>
      </w:r>
      <w:r>
        <w:rPr>
          <w:rFonts w:ascii="Times New Roman" w:eastAsia="Times New Roman" w:hAnsi="Times New Roman" w:cs="Times New Roman"/>
          <w:sz w:val="26"/>
          <w:szCs w:val="26"/>
        </w:rPr>
        <w:t>.2025 № 2505/012-86/</w:t>
      </w:r>
      <w:r>
        <w:rPr>
          <w:rFonts w:ascii="Times New Roman" w:eastAsia="Times New Roman" w:hAnsi="Times New Roman" w:cs="Times New Roman"/>
          <w:sz w:val="26"/>
          <w:szCs w:val="26"/>
        </w:rPr>
        <w:t>441</w:t>
      </w:r>
      <w:r>
        <w:rPr>
          <w:rFonts w:ascii="Times New Roman" w:eastAsia="Times New Roman" w:hAnsi="Times New Roman" w:cs="Times New Roman"/>
          <w:sz w:val="26"/>
          <w:szCs w:val="26"/>
        </w:rPr>
        <w:t>-В/</w:t>
      </w:r>
      <w:r>
        <w:rPr>
          <w:rFonts w:ascii="Times New Roman" w:eastAsia="Times New Roman" w:hAnsi="Times New Roman" w:cs="Times New Roman"/>
          <w:sz w:val="26"/>
          <w:szCs w:val="26"/>
        </w:rPr>
        <w:t>ПВП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копия протокола осмотра от 15.05.2026 с </w:t>
      </w:r>
      <w:r>
        <w:rPr>
          <w:rFonts w:ascii="Times New Roman" w:eastAsia="Times New Roman" w:hAnsi="Times New Roman" w:cs="Times New Roman"/>
          <w:sz w:val="26"/>
          <w:szCs w:val="26"/>
        </w:rPr>
        <w:t>фототаблицей</w:t>
      </w:r>
      <w:r>
        <w:rPr>
          <w:rFonts w:ascii="Times New Roman" w:eastAsia="Times New Roman" w:hAnsi="Times New Roman" w:cs="Times New Roman"/>
          <w:sz w:val="26"/>
          <w:szCs w:val="26"/>
        </w:rPr>
        <w:t>; объяснения; акт выездной проверки от 22.05.2026;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копи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UserDefinedgrp-42rplc-2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ст. 38 Федерального закона от 21 декабря 1994 года № 69-ФЗ «О пожарной безопасности» ответственность за нарушение требований пожарной безопасности в соответствии с действующим законодательством несут: собственники имущества; руководители федеральных органов исполнительной власти; руководители органов местного самоуправления; лица, уполномоченные владеть, пользоваться или распоряжаться имуществом, в том числе руководители организаций; лица, в установленном порядке назначенные ответственными за обеспечение пожарной безопасности; должностные лица в пределах их компетенции. Ответственность за нарушение требований пожарной безопасности для квартир (комнат) в домах государственного, муниципального и ведомственного жилищного фонда возлагается на ответственных квартиросъемщиков или арендаторов, если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иное не предусмотрено соответствующим договором. Лица, указанные в части первой настоящей статьи, иные граждане за нарушение требований пожарной безопасности, а также за иные правонарушения в области </w:t>
      </w:r>
      <w:hyperlink w:anchor="sub_50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пожарной безопасности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могут быть привлечены к дисциплинарной,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административной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или уголовной ответственности в соответствии с действующим законодательством.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75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Постановления Правительства РФ от 16 сентября 2020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г.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1479 "Об утверждении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Правил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противопожарного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режима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Российской Федерации"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органами местного самоуправления, за исключением случаев, предусмотренных законодательством Российской Федерации, для целей пожаротушения создаются источники наружного противопожарного водоснабжения, а также условия для забора в любое время года воды из источников и систем наружного противопожарного водоснабжения, расположенных в населенных пунктах и на прилегающих к ним территориях. При наличии на территориях населенных пунктов, территории садоводства или огородничества, а также на других объектах защиты или вблизи них (в радиусе 200 метров) естественных или искусственных </w:t>
      </w:r>
      <w:r>
        <w:rPr>
          <w:rFonts w:ascii="Times New Roman" w:eastAsia="Times New Roman" w:hAnsi="Times New Roman" w:cs="Times New Roman"/>
          <w:sz w:val="26"/>
          <w:szCs w:val="26"/>
        </w:rPr>
        <w:t>водоисточников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(река, озеро, бассейн, градирня и др.) к ним должны быть устроены подъезды с площадками (пирсами) с твердым покрытием размером не менее 12 х 12 метров для установки пожарных автомобилей и забора воды в любое время года, за исключением случаев, когда территория населенного пункта, объекта защиты и находящиеся на них здания и сооружения обеспечены источниками противопожарного водоснабжения.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48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Постановления Правительства РФ от 16 сентября 2020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г.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1479 "Об утверждении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Правил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противопожарного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режима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в Российской Федерации"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руководитель организации извещает подразделение пожарной охраны при отключении участков водопроводной сети и (или) пожарных гидрантов, находящихся на территории организации, а также в случае уменьшения давления в водопроводной сети ниже требуемого. Руководитель организации обеспечивает исправность, своевременное обслуживание и ремонт наружного противопожарного водоснабжения, находящегося в зоне эксплуатационной ответственности организации, и организует проведение проверок на водоотдачу не реже 2 раз в год (весной и осенью) с внесением информации в журнал эксплуатации систем противопожарной защиты. Направление движения к источникам наружного противопожарного водоснабжения обозначается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расстояния до их месторасположения.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71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Постановления Правительства РФ от 16 сентября 2020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г.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1479 "Об утверждении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Правил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противопожарного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режима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в Российской Федерации"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правообладатели земельных участков обеспечивают надлежащее техническое содержание (в любое время года) дорог, проездов и подъездов к зданиям, сооружениям, строениям и наружным установкам, открытым складам, наружным пожарным лестницам и пожарным гидрантам, резервуарам, естественным и искусственным водоемам, являющимся источниками наружного противопожарного водоснабжения. Запрещается использовать для стоянки автомобилей на территории населенных пунктов, предприятий и организаций площадки для пожарной техники, включая разворотные, предназначенные для ее установки, в том числе для забора воды, подачи средств тушения, доступа пожарных на объект защиты. Не допускается перекрывать проезды для пожарно</w:t>
      </w:r>
      <w:r>
        <w:rPr>
          <w:rFonts w:ascii="Times New Roman" w:eastAsia="Times New Roman" w:hAnsi="Times New Roman" w:cs="Times New Roman"/>
          <w:sz w:val="26"/>
          <w:szCs w:val="26"/>
        </w:rPr>
        <w:t>й техники изделиями и предметами, посадкой крупногабаритных деревьев, исключающими или ограничивающими проезд пожарной техники, доступ пожарных в этажи зданий, сооружений либо снижающими размеры проездов, подъездов, установленные требованиями пожарной без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опасности. Система противопожарной защиты в случае пожара должна обеспечивать автоматическую разблокировку и (или) открывание шлагбаумов, ворот, ограждений и иных технических средств, установленных на проездах и подъездах, а также нахождение их в открытом положении для обеспечения беспрепятственного проезда пожарной техники. Допускается ручное открывание при организации круглосуточного дежурства персонала непосредственно у места установки шлагбаума, ворот, ограждения и иных технических средств на проездах или дистанционно при устройстве видео- и (или) </w:t>
      </w:r>
      <w:r>
        <w:rPr>
          <w:rFonts w:ascii="Times New Roman" w:eastAsia="Times New Roman" w:hAnsi="Times New Roman" w:cs="Times New Roman"/>
          <w:sz w:val="26"/>
          <w:szCs w:val="26"/>
        </w:rPr>
        <w:t>аудиосвязи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местом их установки. У въезда на территорию строительных площадок, открытых плоскостных автостоянок и гаражей, а также на территорию садоводства или огородничества вывешиваются схемы с обозначением въездов, подъездов, пожарных проездов и источников противопожарного водоснабжения. Физическим лицам запрещается препятствовать работе подразделений пожарной охраны, в том числе в пути следования подразделений пожарной охраны к месту пожара.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ст. 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постановления о назначении административного наказания.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Совокупность представленных доказательств, позволяет суду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Голосняк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А.А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инкриминируемого правонарушения.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Голосняк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мировой судья квалифицирует по ч. 14 ст. 19.5 КоАП РФ, как </w:t>
      </w:r>
      <w:r>
        <w:rPr>
          <w:rFonts w:ascii="Times New Roman" w:eastAsia="Times New Roman" w:hAnsi="Times New Roman" w:cs="Times New Roman"/>
          <w:sz w:val="26"/>
          <w:szCs w:val="26"/>
        </w:rPr>
        <w:t>повторное совершение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" w:anchor="/document/12125267/entry/1951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12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" w:anchor="/document/12125267/entry/1951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13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настоящей статьи.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административную ответственность, предусмотренных ст. 4.2 КоАП РФ, судом не установлено.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отягчающих административную ответственность, предусмотренных ст. 4.3 </w:t>
      </w:r>
      <w:r>
        <w:rPr>
          <w:rFonts w:ascii="Times New Roman" w:eastAsia="Times New Roman" w:hAnsi="Times New Roman" w:cs="Times New Roman"/>
          <w:sz w:val="26"/>
          <w:szCs w:val="26"/>
        </w:rPr>
        <w:t>КоАП РФ, суд не усматривает.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 не усматривает оснований освобождения должностного лица от административной ответственности в связи с малозначительностью, в соответствии со </w:t>
      </w:r>
      <w:r>
        <w:rPr>
          <w:rFonts w:ascii="Times New Roman" w:eastAsia="Times New Roman" w:hAnsi="Times New Roman" w:cs="Times New Roman"/>
          <w:sz w:val="26"/>
          <w:szCs w:val="26"/>
        </w:rPr>
        <w:t>ст.2.9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мнению суда, нарушение требований пожарной безопасности, которое может повлечь гибель людей, не может быть признано малозначительным.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определении меры наказания суд учитывает характер и степень общественной опасности правонарушения, обстоятельства правонарушения, принятие мер юридическим лицом для устранения выявленных нарушений надзорным органом.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29.9 - 29.11 КоАП РФ, суд,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Голосняк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Андреевича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виновным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14 ст. 19.5 КоАП РФ, и назначить ему административное наказание в виде административного штрафа в размере 15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(пятнадцати тысяч)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Ханты-Мансийского автономного округа – Югры путем подачи жалобы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в течение десяти дней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М.Б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  <w:sz w:val="20"/>
          <w:szCs w:val="20"/>
        </w:rPr>
        <w:t>№ 5-</w:t>
      </w:r>
      <w:r>
        <w:rPr>
          <w:rFonts w:ascii="Times New Roman" w:eastAsia="Times New Roman" w:hAnsi="Times New Roman" w:cs="Times New Roman"/>
          <w:sz w:val="20"/>
          <w:szCs w:val="20"/>
        </w:rPr>
        <w:t>091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-2602/202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</w:t>
      </w:r>
      <w:r>
        <w:rPr>
          <w:rFonts w:ascii="Times New Roman" w:eastAsia="Times New Roman" w:hAnsi="Times New Roman" w:cs="Times New Roman"/>
          <w:sz w:val="20"/>
          <w:szCs w:val="20"/>
        </w:rPr>
        <w:t>. Куликова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Югре (Департамент административного обеспечения Ханты-Мансийского автономного округа-Югры л/с </w:t>
      </w:r>
      <w:r>
        <w:rPr>
          <w:rFonts w:ascii="Times New Roman" w:eastAsia="Times New Roman" w:hAnsi="Times New Roman" w:cs="Times New Roman"/>
          <w:sz w:val="20"/>
          <w:szCs w:val="20"/>
        </w:rPr>
        <w:t>04872D08080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), Банк: </w:t>
      </w:r>
      <w:r>
        <w:rPr>
          <w:rFonts w:ascii="Times New Roman" w:eastAsia="Times New Roman" w:hAnsi="Times New Roman" w:cs="Times New Roman"/>
          <w:sz w:val="20"/>
          <w:szCs w:val="20"/>
        </w:rPr>
        <w:t>ОКЦ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8 УГУ Банка России//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</w:t>
      </w:r>
      <w:r>
        <w:rPr>
          <w:rFonts w:ascii="Times New Roman" w:eastAsia="Times New Roman" w:hAnsi="Times New Roman" w:cs="Times New Roman"/>
          <w:sz w:val="20"/>
          <w:szCs w:val="20"/>
        </w:rPr>
        <w:t>ЕКС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)40102810245370000007, </w:t>
      </w:r>
      <w:r>
        <w:rPr>
          <w:rFonts w:ascii="Times New Roman" w:eastAsia="Times New Roman" w:hAnsi="Times New Roman" w:cs="Times New Roman"/>
          <w:sz w:val="20"/>
          <w:szCs w:val="20"/>
        </w:rPr>
        <w:t>БИК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007162163, </w:t>
      </w:r>
      <w:r>
        <w:rPr>
          <w:rFonts w:ascii="Times New Roman" w:eastAsia="Times New Roman" w:hAnsi="Times New Roman" w:cs="Times New Roman"/>
          <w:sz w:val="20"/>
          <w:szCs w:val="20"/>
        </w:rPr>
        <w:t>ОКТМО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72011601193010012140,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0412365400575009142619180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28"/>
          <w:szCs w:val="28"/>
        </w:rPr>
      </w:pPr>
    </w:p>
    <w:sectPr>
      <w:headerReference w:type="default" r:id="rId6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6843539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7rplc-5">
    <w:name w:val="cat-UserDefined grp-37 rplc-5"/>
    <w:basedOn w:val="DefaultParagraphFont"/>
  </w:style>
  <w:style w:type="character" w:customStyle="1" w:styleId="cat-UserDefinedgrp-38rplc-9">
    <w:name w:val="cat-UserDefined grp-38 rplc-9"/>
    <w:basedOn w:val="DefaultParagraphFont"/>
  </w:style>
  <w:style w:type="character" w:customStyle="1" w:styleId="cat-UserDefinedgrp-39rplc-16">
    <w:name w:val="cat-UserDefined grp-39 rplc-16"/>
    <w:basedOn w:val="DefaultParagraphFont"/>
  </w:style>
  <w:style w:type="character" w:customStyle="1" w:styleId="cat-UserDefinedgrp-40rplc-24">
    <w:name w:val="cat-UserDefined grp-40 rplc-24"/>
    <w:basedOn w:val="DefaultParagraphFont"/>
  </w:style>
  <w:style w:type="character" w:customStyle="1" w:styleId="cat-UserDefinedgrp-41rplc-25">
    <w:name w:val="cat-UserDefined grp-41 rplc-25"/>
    <w:basedOn w:val="DefaultParagraphFont"/>
  </w:style>
  <w:style w:type="character" w:customStyle="1" w:styleId="cat-UserDefinedgrp-42rplc-29">
    <w:name w:val="cat-UserDefined grp-42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04" TargetMode="External" /><Relationship Id="rId5" Type="http://schemas.openxmlformats.org/officeDocument/2006/relationships/hyperlink" Target="https://internet.garant.ru/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D8259-A707-4AD9-8D50-EFD546B5AA94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